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63558C">
      <w:pPr>
        <w:pStyle w:val="2"/>
        <w:ind w:left="0" w:leftChars="0" w:firstLine="0" w:firstLineChars="0"/>
        <w:rPr>
          <w:rFonts w:hint="eastAsia"/>
        </w:rPr>
      </w:pPr>
      <w:bookmarkStart w:id="0" w:name="PO_t_第二章用户需求书_2"/>
    </w:p>
    <w:p w14:paraId="1A9D1AE6">
      <w:pPr>
        <w:keepNext w:val="0"/>
        <w:keepLines w:val="0"/>
        <w:pageBreakBefore w:val="0"/>
        <w:widowControl w:val="0"/>
        <w:kinsoku/>
        <w:wordWrap/>
        <w:overflowPunct/>
        <w:topLinePunct w:val="0"/>
        <w:autoSpaceDE/>
        <w:autoSpaceDN/>
        <w:bidi w:val="0"/>
        <w:adjustRightInd/>
        <w:snapToGrid w:val="0"/>
        <w:spacing w:line="560" w:lineRule="exact"/>
        <w:jc w:val="center"/>
        <w:textAlignment w:val="auto"/>
        <w:outlineLvl w:val="0"/>
        <w:rPr>
          <w:rFonts w:hint="default" w:ascii="方正小标宋简体" w:hAnsi="方正小标宋简体" w:eastAsia="方正小标宋简体" w:cs="方正小标宋简体"/>
          <w:b/>
          <w:bCs/>
          <w:color w:val="000000" w:themeColor="text1"/>
          <w:sz w:val="44"/>
          <w:szCs w:val="44"/>
          <w:lang w:val="en-US" w:eastAsia="zh-CN"/>
          <w14:textFill>
            <w14:solidFill>
              <w14:schemeClr w14:val="tx1"/>
            </w14:solidFill>
          </w14:textFill>
        </w:rPr>
      </w:pPr>
      <w:r>
        <w:rPr>
          <w:rFonts w:hint="eastAsia" w:ascii="方正小标宋简体" w:hAnsi="方正小标宋简体" w:eastAsia="方正小标宋简体" w:cs="方正小标宋简体"/>
          <w:b/>
          <w:bCs/>
          <w:color w:val="000000" w:themeColor="text1"/>
          <w:sz w:val="44"/>
          <w:szCs w:val="44"/>
          <w14:textFill>
            <w14:solidFill>
              <w14:schemeClr w14:val="tx1"/>
            </w14:solidFill>
          </w14:textFill>
        </w:rPr>
        <w:t xml:space="preserve"> 用户需求书</w:t>
      </w:r>
      <w:r>
        <w:rPr>
          <w:rFonts w:hint="eastAsia" w:ascii="方正小标宋简体" w:hAnsi="方正小标宋简体" w:eastAsia="方正小标宋简体" w:cs="方正小标宋简体"/>
          <w:b/>
          <w:bCs/>
          <w:color w:val="000000" w:themeColor="text1"/>
          <w:sz w:val="44"/>
          <w:szCs w:val="44"/>
          <w:lang w:eastAsia="zh-CN"/>
          <w14:textFill>
            <w14:solidFill>
              <w14:schemeClr w14:val="tx1"/>
            </w14:solidFill>
          </w14:textFill>
        </w:rPr>
        <w:t>（</w:t>
      </w:r>
      <w:r>
        <w:rPr>
          <w:rFonts w:hint="eastAsia" w:ascii="方正小标宋简体" w:hAnsi="方正小标宋简体" w:eastAsia="方正小标宋简体" w:cs="方正小标宋简体"/>
          <w:b/>
          <w:bCs/>
          <w:color w:val="000000" w:themeColor="text1"/>
          <w:sz w:val="44"/>
          <w:szCs w:val="44"/>
          <w:lang w:val="en-US" w:eastAsia="zh-CN"/>
          <w14:textFill>
            <w14:solidFill>
              <w14:schemeClr w14:val="tx1"/>
            </w14:solidFill>
          </w14:textFill>
        </w:rPr>
        <w:t>征求意见稿）</w:t>
      </w:r>
      <w:bookmarkStart w:id="4" w:name="_GoBack"/>
      <w:bookmarkEnd w:id="4"/>
    </w:p>
    <w:p w14:paraId="0D13CCF5">
      <w:pPr>
        <w:pStyle w:val="2"/>
        <w:rPr>
          <w:rFonts w:hint="eastAsia"/>
        </w:rPr>
      </w:pPr>
    </w:p>
    <w:bookmarkEnd w:id="0"/>
    <w:p w14:paraId="22933AFD">
      <w:pPr>
        <w:keepNext w:val="0"/>
        <w:keepLines w:val="0"/>
        <w:pageBreakBefore w:val="0"/>
        <w:widowControl w:val="0"/>
        <w:kinsoku/>
        <w:wordWrap/>
        <w:overflowPunct/>
        <w:topLinePunct w:val="0"/>
        <w:autoSpaceDE/>
        <w:autoSpaceDN/>
        <w:bidi w:val="0"/>
        <w:adjustRightInd/>
        <w:snapToGrid w:val="0"/>
        <w:spacing w:line="460" w:lineRule="exact"/>
        <w:ind w:leftChars="0" w:firstLine="640" w:firstLineChars="200"/>
        <w:textAlignment w:val="auto"/>
        <w:rPr>
          <w:rFonts w:hint="eastAsia"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000000" w:themeColor="text1"/>
          <w:sz w:val="32"/>
          <w:szCs w:val="32"/>
          <w14:textFill>
            <w14:solidFill>
              <w14:schemeClr w14:val="tx1"/>
            </w14:solidFill>
          </w14:textFill>
        </w:rPr>
        <w:t>说明：</w:t>
      </w:r>
    </w:p>
    <w:p w14:paraId="6381A77D">
      <w:pPr>
        <w:keepNext w:val="0"/>
        <w:keepLines w:val="0"/>
        <w:pageBreakBefore w:val="0"/>
        <w:widowControl w:val="0"/>
        <w:numPr>
          <w:ilvl w:val="0"/>
          <w:numId w:val="0"/>
        </w:numPr>
        <w:kinsoku/>
        <w:wordWrap/>
        <w:overflowPunct/>
        <w:topLinePunct w:val="0"/>
        <w:autoSpaceDE/>
        <w:autoSpaceDN/>
        <w:bidi w:val="0"/>
        <w:adjustRightInd/>
        <w:snapToGrid w:val="0"/>
        <w:spacing w:line="460" w:lineRule="exact"/>
        <w:ind w:leftChars="0" w:firstLine="640" w:firstLineChars="200"/>
        <w:textAlignment w:val="auto"/>
        <w:rPr>
          <w:rFonts w:hint="eastAsia"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b w:val="0"/>
          <w:bCs w:val="0"/>
          <w:color w:val="000000" w:themeColor="text1"/>
          <w:sz w:val="32"/>
          <w:szCs w:val="32"/>
          <w14:textFill>
            <w14:solidFill>
              <w14:schemeClr w14:val="tx1"/>
            </w14:solidFill>
          </w14:textFill>
        </w:rPr>
        <w:t xml:space="preserve">响应供应商须对本项目进行整体响应，任何只对其中一部分进行的响应都被视为无效响应。 </w:t>
      </w:r>
    </w:p>
    <w:p w14:paraId="1595C539">
      <w:pPr>
        <w:pStyle w:val="4"/>
        <w:keepNext w:val="0"/>
        <w:keepLines w:val="0"/>
        <w:pageBreakBefore w:val="0"/>
        <w:widowControl w:val="0"/>
        <w:numPr>
          <w:ilvl w:val="0"/>
          <w:numId w:val="1"/>
        </w:numPr>
        <w:tabs>
          <w:tab w:val="left" w:pos="540"/>
        </w:tabs>
        <w:kinsoku/>
        <w:wordWrap/>
        <w:overflowPunct/>
        <w:topLinePunct w:val="0"/>
        <w:autoSpaceDE/>
        <w:autoSpaceDN/>
        <w:bidi w:val="0"/>
        <w:adjustRightInd w:val="0"/>
        <w:snapToGrid w:val="0"/>
        <w:spacing w:line="460" w:lineRule="exact"/>
        <w:ind w:left="0" w:firstLine="640" w:firstLineChars="200"/>
        <w:textAlignment w:val="auto"/>
        <w:rPr>
          <w:rFonts w:hint="eastAsia" w:ascii="黑体" w:hAnsi="黑体" w:eastAsia="黑体" w:cs="黑体"/>
          <w:b w:val="0"/>
          <w:bCs w:val="0"/>
          <w:color w:val="000000" w:themeColor="text1"/>
          <w:sz w:val="32"/>
          <w:szCs w:val="32"/>
          <w14:textFill>
            <w14:solidFill>
              <w14:schemeClr w14:val="tx1"/>
            </w14:solidFill>
          </w14:textFill>
        </w:rPr>
      </w:pPr>
      <w:bookmarkStart w:id="1" w:name="PO_t_一、项目一览表_3"/>
      <w:r>
        <w:rPr>
          <w:rFonts w:hint="eastAsia" w:ascii="黑体" w:hAnsi="黑体" w:eastAsia="黑体" w:cs="黑体"/>
          <w:b w:val="0"/>
          <w:bCs w:val="0"/>
          <w:color w:val="000000" w:themeColor="text1"/>
          <w:sz w:val="32"/>
          <w:szCs w:val="32"/>
          <w14:textFill>
            <w14:solidFill>
              <w14:schemeClr w14:val="tx1"/>
            </w14:solidFill>
          </w14:textFill>
        </w:rPr>
        <w:t>项目一览表</w:t>
      </w:r>
      <w:bookmarkEnd w:id="1"/>
    </w:p>
    <w:tbl>
      <w:tblPr>
        <w:tblStyle w:val="5"/>
        <w:tblW w:w="4575"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2391"/>
        <w:gridCol w:w="1056"/>
        <w:gridCol w:w="3131"/>
        <w:gridCol w:w="1712"/>
      </w:tblGrid>
      <w:tr w14:paraId="48A5F97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442" w:type="pct"/>
            <w:tcBorders>
              <w:top w:val="single" w:color="auto" w:sz="12" w:space="0"/>
              <w:bottom w:val="single" w:color="auto" w:sz="2" w:space="0"/>
            </w:tcBorders>
            <w:shd w:val="clear" w:color="auto" w:fill="EEECE1"/>
            <w:vAlign w:val="center"/>
          </w:tcPr>
          <w:p w14:paraId="5095EBEE">
            <w:pPr>
              <w:spacing w:line="360" w:lineRule="auto"/>
              <w:jc w:val="center"/>
              <w:rPr>
                <w:rFonts w:hint="eastAsia"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采购内容</w:t>
            </w:r>
          </w:p>
        </w:tc>
        <w:tc>
          <w:tcPr>
            <w:tcW w:w="637" w:type="pct"/>
            <w:tcBorders>
              <w:top w:val="single" w:color="auto" w:sz="12" w:space="0"/>
              <w:bottom w:val="single" w:color="auto" w:sz="2" w:space="0"/>
            </w:tcBorders>
            <w:shd w:val="clear" w:color="auto" w:fill="EEECE1"/>
            <w:vAlign w:val="center"/>
          </w:tcPr>
          <w:p w14:paraId="49066403">
            <w:pPr>
              <w:spacing w:line="360" w:lineRule="auto"/>
              <w:jc w:val="center"/>
              <w:rPr>
                <w:rFonts w:hint="eastAsia"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数量</w:t>
            </w:r>
          </w:p>
        </w:tc>
        <w:tc>
          <w:tcPr>
            <w:tcW w:w="1888" w:type="pct"/>
            <w:tcBorders>
              <w:top w:val="single" w:color="auto" w:sz="12" w:space="0"/>
              <w:bottom w:val="single" w:color="auto" w:sz="2" w:space="0"/>
            </w:tcBorders>
            <w:shd w:val="clear" w:color="auto" w:fill="EEECE1"/>
            <w:vAlign w:val="center"/>
          </w:tcPr>
          <w:p w14:paraId="53D13153">
            <w:pPr>
              <w:spacing w:line="360" w:lineRule="auto"/>
              <w:jc w:val="center"/>
              <w:rPr>
                <w:rFonts w:hint="eastAsia" w:ascii="仿宋_GB2312" w:hAnsi="仿宋_GB2312" w:eastAsia="仿宋_GB2312" w:cs="仿宋_GB2312"/>
                <w:b/>
                <w:color w:val="000000" w:themeColor="text1"/>
                <w:sz w:val="24"/>
                <w:szCs w:val="24"/>
                <w:lang w:eastAsia="zh-CN"/>
                <w14:textFill>
                  <w14:solidFill>
                    <w14:schemeClr w14:val="tx1"/>
                  </w14:solidFill>
                </w14:textFill>
              </w:rPr>
            </w:pPr>
            <w:r>
              <w:rPr>
                <w:rFonts w:hint="eastAsia" w:ascii="仿宋_GB2312" w:hAnsi="仿宋_GB2312" w:eastAsia="仿宋_GB2312" w:cs="仿宋_GB2312"/>
                <w:b/>
                <w:color w:val="000000"/>
                <w:sz w:val="24"/>
                <w:szCs w:val="24"/>
                <w:lang w:val="en-US" w:eastAsia="zh-CN"/>
              </w:rPr>
              <w:t>交货期</w:t>
            </w:r>
          </w:p>
        </w:tc>
        <w:tc>
          <w:tcPr>
            <w:tcW w:w="1032" w:type="pct"/>
            <w:tcBorders>
              <w:top w:val="single" w:color="auto" w:sz="12" w:space="0"/>
              <w:bottom w:val="single" w:color="auto" w:sz="2" w:space="0"/>
            </w:tcBorders>
            <w:shd w:val="clear" w:color="auto" w:fill="EEECE1"/>
            <w:vAlign w:val="center"/>
          </w:tcPr>
          <w:p w14:paraId="57E0D18D">
            <w:pPr>
              <w:spacing w:line="360" w:lineRule="auto"/>
              <w:jc w:val="center"/>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最高限价</w:t>
            </w:r>
          </w:p>
        </w:tc>
      </w:tr>
      <w:tr w14:paraId="4409E4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442" w:type="pct"/>
            <w:tcBorders>
              <w:top w:val="single" w:color="auto" w:sz="2" w:space="0"/>
              <w:bottom w:val="single" w:color="auto" w:sz="2" w:space="0"/>
            </w:tcBorders>
            <w:vAlign w:val="center"/>
          </w:tcPr>
          <w:p w14:paraId="03198835">
            <w:pPr>
              <w:spacing w:line="360" w:lineRule="auto"/>
              <w:jc w:val="center"/>
              <w:rPr>
                <w:rFonts w:hint="eastAsia" w:ascii="仿宋_GB2312" w:hAnsi="仿宋_GB2312" w:eastAsia="仿宋_GB2312" w:cs="仿宋_GB2312"/>
                <w:color w:val="000000" w:themeColor="text1"/>
                <w:sz w:val="24"/>
                <w:szCs w:val="24"/>
                <w:lang w:eastAsia="zh-CN"/>
                <w14:textFill>
                  <w14:solidFill>
                    <w14:schemeClr w14:val="tx1"/>
                  </w14:solidFill>
                </w14:textFill>
              </w:rPr>
            </w:pPr>
            <w:r>
              <w:rPr>
                <w:rFonts w:hint="eastAsia" w:ascii="仿宋_GB2312" w:hAnsi="仿宋_GB2312" w:eastAsia="仿宋_GB2312" w:cs="仿宋_GB2312"/>
                <w:color w:val="000000" w:themeColor="text1"/>
                <w:sz w:val="24"/>
                <w:szCs w:val="24"/>
                <w:lang w:eastAsia="zh-CN"/>
                <w14:textFill>
                  <w14:solidFill>
                    <w14:schemeClr w14:val="tx1"/>
                  </w14:solidFill>
                </w14:textFill>
              </w:rPr>
              <w:t>电热蒸汽发生器</w:t>
            </w:r>
          </w:p>
        </w:tc>
        <w:tc>
          <w:tcPr>
            <w:tcW w:w="637" w:type="pct"/>
            <w:tcBorders>
              <w:top w:val="single" w:color="auto" w:sz="2" w:space="0"/>
              <w:bottom w:val="single" w:color="auto" w:sz="2" w:space="0"/>
            </w:tcBorders>
            <w:vAlign w:val="center"/>
          </w:tcPr>
          <w:p w14:paraId="18B2DF87">
            <w:pPr>
              <w:spacing w:line="360" w:lineRule="auto"/>
              <w:jc w:val="center"/>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bCs/>
                <w:color w:val="000000" w:themeColor="text1"/>
                <w:sz w:val="24"/>
                <w:szCs w:val="24"/>
                <w14:textFill>
                  <w14:solidFill>
                    <w14:schemeClr w14:val="tx1"/>
                  </w14:solidFill>
                </w14:textFill>
              </w:rPr>
              <w:t>1</w:t>
            </w:r>
            <w:r>
              <w:rPr>
                <w:rFonts w:hint="eastAsia" w:ascii="仿宋_GB2312" w:hAnsi="仿宋_GB2312" w:eastAsia="仿宋_GB2312" w:cs="仿宋_GB2312"/>
                <w:bCs/>
                <w:color w:val="000000" w:themeColor="text1"/>
                <w:sz w:val="24"/>
                <w:szCs w:val="24"/>
                <w:lang w:val="en-US" w:eastAsia="zh-CN"/>
                <w14:textFill>
                  <w14:solidFill>
                    <w14:schemeClr w14:val="tx1"/>
                  </w14:solidFill>
                </w14:textFill>
              </w:rPr>
              <w:t>台</w:t>
            </w:r>
          </w:p>
        </w:tc>
        <w:tc>
          <w:tcPr>
            <w:tcW w:w="1888" w:type="pct"/>
            <w:tcBorders>
              <w:top w:val="single" w:color="auto" w:sz="2" w:space="0"/>
              <w:bottom w:val="single" w:color="auto" w:sz="2" w:space="0"/>
            </w:tcBorders>
            <w:vAlign w:val="center"/>
          </w:tcPr>
          <w:p w14:paraId="2A3435DD">
            <w:pPr>
              <w:pStyle w:val="7"/>
              <w:spacing w:before="0" w:after="0" w:line="360" w:lineRule="auto"/>
              <w:rPr>
                <w:rFonts w:hint="eastAsia" w:ascii="仿宋_GB2312" w:hAnsi="仿宋_GB2312" w:eastAsia="仿宋_GB2312" w:cs="仿宋_GB2312"/>
                <w:color w:val="000000" w:themeColor="text1"/>
                <w:spacing w:val="0"/>
                <w:kern w:val="2"/>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spacing w:val="0"/>
                <w:kern w:val="2"/>
                <w:sz w:val="24"/>
                <w:szCs w:val="24"/>
                <w:lang w:val="en-US" w:eastAsia="zh-CN"/>
                <w14:textFill>
                  <w14:solidFill>
                    <w14:schemeClr w14:val="tx1"/>
                  </w14:solidFill>
                </w14:textFill>
              </w:rPr>
              <w:t>签订合同后10天内</w:t>
            </w:r>
          </w:p>
        </w:tc>
        <w:tc>
          <w:tcPr>
            <w:tcW w:w="1032" w:type="pct"/>
            <w:tcBorders>
              <w:top w:val="single" w:color="auto" w:sz="2" w:space="0"/>
              <w:bottom w:val="single" w:color="auto" w:sz="2" w:space="0"/>
            </w:tcBorders>
            <w:vAlign w:val="center"/>
          </w:tcPr>
          <w:p w14:paraId="3435207C">
            <w:pPr>
              <w:spacing w:line="360" w:lineRule="auto"/>
              <w:jc w:val="center"/>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人民币</w:t>
            </w:r>
            <w:r>
              <w:rPr>
                <w:rFonts w:hint="eastAsia" w:ascii="仿宋_GB2312" w:hAnsi="仿宋_GB2312" w:eastAsia="仿宋_GB2312" w:cs="仿宋_GB2312"/>
                <w:color w:val="000000" w:themeColor="text1"/>
                <w:sz w:val="24"/>
                <w:szCs w:val="24"/>
                <w:u w:val="single"/>
                <w:lang w:val="en-US" w:eastAsia="zh-CN"/>
                <w14:textFill>
                  <w14:solidFill>
                    <w14:schemeClr w14:val="tx1"/>
                  </w14:solidFill>
                </w14:textFill>
              </w:rPr>
              <w:t>48</w:t>
            </w:r>
            <w:r>
              <w:rPr>
                <w:rFonts w:hint="eastAsia" w:ascii="仿宋_GB2312" w:hAnsi="仿宋_GB2312" w:eastAsia="仿宋_GB2312" w:cs="仿宋_GB2312"/>
                <w:color w:val="000000" w:themeColor="text1"/>
                <w:sz w:val="24"/>
                <w:szCs w:val="24"/>
                <w:u w:val="single"/>
                <w:lang w:eastAsia="zh-CN"/>
                <w14:textFill>
                  <w14:solidFill>
                    <w14:schemeClr w14:val="tx1"/>
                  </w14:solidFill>
                </w14:textFill>
              </w:rPr>
              <w:t>000</w:t>
            </w:r>
            <w:r>
              <w:rPr>
                <w:rFonts w:hint="eastAsia" w:ascii="仿宋_GB2312" w:hAnsi="仿宋_GB2312" w:eastAsia="仿宋_GB2312" w:cs="仿宋_GB2312"/>
                <w:color w:val="000000" w:themeColor="text1"/>
                <w:sz w:val="24"/>
                <w:szCs w:val="24"/>
                <w14:textFill>
                  <w14:solidFill>
                    <w14:schemeClr w14:val="tx1"/>
                  </w14:solidFill>
                </w14:textFill>
              </w:rPr>
              <w:t>元</w:t>
            </w:r>
          </w:p>
        </w:tc>
      </w:tr>
    </w:tbl>
    <w:p w14:paraId="13001FD8">
      <w:pPr>
        <w:keepNext w:val="0"/>
        <w:keepLines w:val="0"/>
        <w:pageBreakBefore w:val="0"/>
        <w:widowControl w:val="0"/>
        <w:numPr>
          <w:ilvl w:val="0"/>
          <w:numId w:val="0"/>
        </w:numPr>
        <w:kinsoku/>
        <w:wordWrap/>
        <w:overflowPunct/>
        <w:topLinePunct w:val="0"/>
        <w:autoSpaceDE/>
        <w:autoSpaceDN/>
        <w:bidi w:val="0"/>
        <w:snapToGrid w:val="0"/>
        <w:spacing w:line="460" w:lineRule="exact"/>
        <w:ind w:left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bookmarkStart w:id="2" w:name="PO_t_二、采购清单及要求_4"/>
    </w:p>
    <w:p w14:paraId="26BD4BE0">
      <w:pPr>
        <w:keepNext w:val="0"/>
        <w:keepLines w:val="0"/>
        <w:pageBreakBefore w:val="0"/>
        <w:widowControl w:val="0"/>
        <w:numPr>
          <w:ilvl w:val="0"/>
          <w:numId w:val="0"/>
        </w:numPr>
        <w:kinsoku/>
        <w:wordWrap/>
        <w:overflowPunct/>
        <w:topLinePunct w:val="0"/>
        <w:autoSpaceDE/>
        <w:autoSpaceDN/>
        <w:bidi w:val="0"/>
        <w:snapToGrid w:val="0"/>
        <w:spacing w:line="460" w:lineRule="exact"/>
        <w:ind w:leftChars="200"/>
        <w:textAlignment w:val="auto"/>
        <w:rPr>
          <w:rFonts w:hint="eastAsia" w:ascii="黑体" w:hAnsi="黑体" w:eastAsia="黑体" w:cs="黑体"/>
          <w:b w:val="0"/>
          <w:bCs w:val="0"/>
          <w:color w:val="000000" w:themeColor="text1"/>
          <w:sz w:val="32"/>
          <w:szCs w:val="32"/>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二、采购清单</w:t>
      </w:r>
    </w:p>
    <w:tbl>
      <w:tblPr>
        <w:tblStyle w:val="5"/>
        <w:tblW w:w="901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7"/>
        <w:gridCol w:w="2534"/>
        <w:gridCol w:w="1769"/>
        <w:gridCol w:w="1769"/>
        <w:gridCol w:w="1769"/>
      </w:tblGrid>
      <w:tr w14:paraId="30206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9" w:hRule="atLeast"/>
          <w:jc w:val="center"/>
        </w:trPr>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9FA7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序号</w:t>
            </w:r>
          </w:p>
        </w:tc>
        <w:tc>
          <w:tcPr>
            <w:tcW w:w="2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99421">
            <w:pPr>
              <w:keepNext w:val="0"/>
              <w:keepLines w:val="0"/>
              <w:widowControl/>
              <w:suppressLineNumbers w:val="0"/>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产品名称</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6CF29">
            <w:pPr>
              <w:keepNext w:val="0"/>
              <w:keepLines w:val="0"/>
              <w:widowControl/>
              <w:suppressLineNumbers w:val="0"/>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数量</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557C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单位</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285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参数要求</w:t>
            </w:r>
          </w:p>
        </w:tc>
      </w:tr>
      <w:tr w14:paraId="71299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jc w:val="center"/>
        </w:trPr>
        <w:tc>
          <w:tcPr>
            <w:tcW w:w="11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DF22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2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00EEA">
            <w:pPr>
              <w:keepNext w:val="0"/>
              <w:keepLines w:val="0"/>
              <w:widowControl/>
              <w:suppressLineNumbers w:val="0"/>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电热蒸汽发生器</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64342">
            <w:pPr>
              <w:keepNext w:val="0"/>
              <w:keepLines w:val="0"/>
              <w:widowControl/>
              <w:suppressLineNumbers w:val="0"/>
              <w:jc w:val="center"/>
              <w:textAlignment w:val="center"/>
              <w:rPr>
                <w:rFonts w:hint="eastAsia" w:ascii="仿宋_GB2312" w:hAnsi="仿宋_GB2312" w:eastAsia="仿宋_GB2312" w:cs="仿宋_GB2312"/>
                <w:i w:val="0"/>
                <w:iCs w:val="0"/>
                <w:color w:val="000000"/>
                <w:sz w:val="28"/>
                <w:szCs w:val="28"/>
                <w:u w:val="none"/>
              </w:rPr>
            </w:pPr>
            <w:r>
              <w:rPr>
                <w:rFonts w:hint="eastAsia" w:ascii="仿宋_GB2312" w:hAnsi="仿宋_GB2312" w:eastAsia="仿宋_GB2312" w:cs="仿宋_GB2312"/>
                <w:i w:val="0"/>
                <w:iCs w:val="0"/>
                <w:color w:val="000000"/>
                <w:kern w:val="0"/>
                <w:sz w:val="28"/>
                <w:szCs w:val="28"/>
                <w:u w:val="none"/>
                <w:lang w:val="en-US" w:eastAsia="zh-CN" w:bidi="ar"/>
              </w:rPr>
              <w:t>1</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B2F2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台</w:t>
            </w:r>
          </w:p>
        </w:tc>
        <w:tc>
          <w:tcPr>
            <w:tcW w:w="17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3601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详见下文</w:t>
            </w:r>
          </w:p>
        </w:tc>
      </w:tr>
      <w:bookmarkEnd w:id="2"/>
    </w:tbl>
    <w:p w14:paraId="1A51DF1B">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t>三、参数要求</w:t>
      </w:r>
    </w:p>
    <w:p w14:paraId="67EE22E2">
      <w:pPr>
        <w:pStyle w:val="4"/>
        <w:keepNext w:val="0"/>
        <w:keepLines w:val="0"/>
        <w:pageBreakBefore w:val="0"/>
        <w:widowControl w:val="0"/>
        <w:numPr>
          <w:ilvl w:val="0"/>
          <w:numId w:val="2"/>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核心基础属性</w:t>
      </w:r>
    </w:p>
    <w:p w14:paraId="6D247F8B">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设备类型为电热蒸汽发生器，核心用途是为高压灭菌或清洗相关设备（脉动真空灭菌器、自动清洗机等）提供高压蒸汽，适配医疗卫生、制药、食品等需要灭菌的行业场景。</w:t>
      </w:r>
    </w:p>
    <w:p w14:paraId="4299EFDE">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若为免检型设备，无需办理特种设备使用证，简化合规流程；若为需检型设备，包含办理特种设备使用证，按照特种设备管理。</w:t>
      </w:r>
    </w:p>
    <w:p w14:paraId="3279A040">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输入电源适配工业三相供电，核心功率配置≥60KW，满足大功率加热需求。</w:t>
      </w:r>
    </w:p>
    <w:p w14:paraId="1262F5EE">
      <w:pPr>
        <w:pStyle w:val="4"/>
        <w:keepNext w:val="0"/>
        <w:keepLines w:val="0"/>
        <w:pageBreakBefore w:val="0"/>
        <w:widowControl w:val="0"/>
        <w:numPr>
          <w:ilvl w:val="0"/>
          <w:numId w:val="2"/>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核心材质要求</w:t>
      </w:r>
    </w:p>
    <w:p w14:paraId="5B343D3D">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主体/筒体材质统一采用 304 不锈钢（含 304 不锈钢无缝钢管），保障设备耐腐蚀性与卫生标准，适配灭菌场景的洁净要求。</w:t>
      </w:r>
    </w:p>
    <w:p w14:paraId="39C398B5">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加热管为不锈钢材质，具备耐高温、耐腐蚀特性，且支持分组启动、分级控制或双组转换功能，适配不同蒸汽需求量。</w:t>
      </w:r>
    </w:p>
    <w:p w14:paraId="60BEA2E6">
      <w:pPr>
        <w:pStyle w:val="4"/>
        <w:keepNext w:val="0"/>
        <w:keepLines w:val="0"/>
        <w:pageBreakBefore w:val="0"/>
        <w:widowControl w:val="0"/>
        <w:numPr>
          <w:ilvl w:val="0"/>
          <w:numId w:val="2"/>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安全保护核心功能</w:t>
      </w:r>
    </w:p>
    <w:p w14:paraId="77BE13CD">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具备压力自动保护功能，通过压力控制器、安全阀等组件，实现超压时断电或泄压，保障系统压力稳定在安全范围。</w:t>
      </w:r>
    </w:p>
    <w:p w14:paraId="2C582548">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配备缺水/防干烧保护机制，当水位低于安全阈值或电热管超温时，自动切断加热电源，避免设备损坏。</w:t>
      </w:r>
    </w:p>
    <w:p w14:paraId="6389C3A4">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配置安全阀门（安全阀），作为压力保护的最后一道防线，意外超压时可快速泄压，防范安全风险。</w:t>
      </w:r>
    </w:p>
    <w:p w14:paraId="1F067580">
      <w:pPr>
        <w:pStyle w:val="4"/>
        <w:keepNext w:val="0"/>
        <w:keepLines w:val="0"/>
        <w:pageBreakBefore w:val="0"/>
        <w:widowControl w:val="0"/>
        <w:numPr>
          <w:ilvl w:val="0"/>
          <w:numId w:val="2"/>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关键技术指标</w:t>
      </w:r>
    </w:p>
    <w:p w14:paraId="78DA2AED">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工作压力范围高度一致，覆盖 0-0.7MPa 区间，满足常规高压灭菌或清洗设备的蒸汽压力需求。</w:t>
      </w:r>
    </w:p>
    <w:p w14:paraId="15D4CAAF">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最高工作温度≥168℃，保障蒸汽灭菌的高温条件。</w:t>
      </w:r>
    </w:p>
    <w:p w14:paraId="34CAD8C9">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电热总功率≥60kW</w:t>
      </w:r>
    </w:p>
    <w:p w14:paraId="7F0BE343">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蒸汽产量≥80kg/h，可满足单台或多台灭菌设备的连续蒸汽供应。</w:t>
      </w:r>
    </w:p>
    <w:p w14:paraId="06596CF6">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设计 / 使用寿命≥8 年，水容积集中在 23—25L 区间，兼顾设备稳定性与使用成本。</w:t>
      </w:r>
    </w:p>
    <w:p w14:paraId="12CDAF40">
      <w:pPr>
        <w:pStyle w:val="4"/>
        <w:keepNext w:val="0"/>
        <w:keepLines w:val="0"/>
        <w:pageBreakBefore w:val="0"/>
        <w:widowControl w:val="0"/>
        <w:numPr>
          <w:ilvl w:val="0"/>
          <w:numId w:val="2"/>
        </w:numPr>
        <w:tabs>
          <w:tab w:val="left" w:pos="540"/>
        </w:tabs>
        <w:kinsoku/>
        <w:wordWrap/>
        <w:overflowPunct/>
        <w:topLinePunct w:val="0"/>
        <w:autoSpaceDE/>
        <w:autoSpaceDN/>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核心功能配置</w:t>
      </w:r>
    </w:p>
    <w:p w14:paraId="29478FF0">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具备自动控制能力，支持压力自动调节、加热功率智能控制，减少人工干预，实现无人值守或少人看管运行。</w:t>
      </w:r>
    </w:p>
    <w:p w14:paraId="6F3E1491">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适配高压灭菌设备的配套使用需求，蒸汽输出稳定，能满足灭菌流程中对蒸汽饱和度、压力稳定性的要求。</w:t>
      </w:r>
    </w:p>
    <w:p w14:paraId="5902D074">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配备核心安全与控制配件，包括压力控制器、液位控制组件、加热管、安全阀等，保障设备完整运行与操作安全。</w:t>
      </w:r>
    </w:p>
    <w:p w14:paraId="17A1448F">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0" w:leftChars="0" w:firstLine="640" w:firstLineChars="200"/>
        <w:jc w:val="left"/>
        <w:textAlignment w:val="auto"/>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t>四、商务要求</w:t>
      </w:r>
    </w:p>
    <w:p w14:paraId="6798E961">
      <w:pPr>
        <w:pStyle w:val="4"/>
        <w:keepNext w:val="0"/>
        <w:keepLines w:val="0"/>
        <w:pageBreakBefore w:val="0"/>
        <w:widowControl w:val="0"/>
        <w:numPr>
          <w:ilvl w:val="0"/>
          <w:numId w:val="3"/>
        </w:numPr>
        <w:tabs>
          <w:tab w:val="left" w:pos="540"/>
        </w:tabs>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包装、保险及发运、保管要求</w:t>
      </w:r>
    </w:p>
    <w:p w14:paraId="40CA1350">
      <w:pPr>
        <w:pStyle w:val="8"/>
        <w:keepNext w:val="0"/>
        <w:keepLines w:val="0"/>
        <w:pageBreakBefore w:val="0"/>
        <w:widowControl w:val="0"/>
        <w:numPr>
          <w:ilvl w:val="0"/>
          <w:numId w:val="4"/>
        </w:numPr>
        <w:kinsoku/>
        <w:wordWrap/>
        <w:overflowPunct/>
        <w:topLinePunct w:val="0"/>
        <w:bidi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 xml:space="preserve">（简称“质保期”）为 2 年，质保期内成交人对所供货物实行包换、包退、包维护保养。 </w:t>
      </w:r>
    </w:p>
    <w:p w14:paraId="49804CB0">
      <w:pPr>
        <w:keepNext w:val="0"/>
        <w:keepLines w:val="0"/>
        <w:pageBreakBefore w:val="0"/>
        <w:widowControl w:val="0"/>
        <w:numPr>
          <w:ilvl w:val="0"/>
          <w:numId w:val="4"/>
        </w:numPr>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设备材料的包装必须是制造商原厂包装，其包装均应有良好的防湿、防锈、防潮、防雨、防腐及防碰撞的措施。凡由于包装不良造成的损失和由此产生的费用均由供应商承担。</w:t>
      </w:r>
    </w:p>
    <w:p w14:paraId="4714B703">
      <w:pPr>
        <w:keepNext w:val="0"/>
        <w:keepLines w:val="0"/>
        <w:pageBreakBefore w:val="0"/>
        <w:widowControl w:val="0"/>
        <w:numPr>
          <w:ilvl w:val="0"/>
          <w:numId w:val="4"/>
        </w:numPr>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成交人负责将货物到现场过程中的全部运输，包括装卸车、货物现场的搬运。</w:t>
      </w:r>
    </w:p>
    <w:p w14:paraId="17FEDCBF">
      <w:pPr>
        <w:keepNext w:val="0"/>
        <w:keepLines w:val="0"/>
        <w:pageBreakBefore w:val="0"/>
        <w:widowControl w:val="0"/>
        <w:numPr>
          <w:ilvl w:val="0"/>
          <w:numId w:val="4"/>
        </w:numPr>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各种货物必须提供装箱清单，按装箱清单验收货物。</w:t>
      </w:r>
    </w:p>
    <w:p w14:paraId="246EF25E">
      <w:pPr>
        <w:keepNext w:val="0"/>
        <w:keepLines w:val="0"/>
        <w:pageBreakBefore w:val="0"/>
        <w:widowControl w:val="0"/>
        <w:numPr>
          <w:ilvl w:val="0"/>
          <w:numId w:val="4"/>
        </w:numPr>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货物在现场的保管由成交人负责，直至项目安装、验收完毕。</w:t>
      </w:r>
    </w:p>
    <w:p w14:paraId="133250C8">
      <w:pPr>
        <w:keepNext w:val="0"/>
        <w:keepLines w:val="0"/>
        <w:pageBreakBefore w:val="0"/>
        <w:widowControl w:val="0"/>
        <w:numPr>
          <w:ilvl w:val="0"/>
          <w:numId w:val="4"/>
        </w:numPr>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货物至采购人指定的使用现场的包装、保险及发运等环节和费用均由成交人负责。</w:t>
      </w:r>
    </w:p>
    <w:p w14:paraId="531E10E9">
      <w:pPr>
        <w:pStyle w:val="4"/>
        <w:keepNext w:val="0"/>
        <w:keepLines w:val="0"/>
        <w:pageBreakBefore w:val="0"/>
        <w:widowControl w:val="0"/>
        <w:numPr>
          <w:ilvl w:val="0"/>
          <w:numId w:val="3"/>
        </w:numPr>
        <w:tabs>
          <w:tab w:val="left" w:pos="540"/>
        </w:tabs>
        <w:kinsoku/>
        <w:wordWrap/>
        <w:overflowPunct/>
        <w:topLinePunct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验收</w:t>
      </w:r>
    </w:p>
    <w:p w14:paraId="4CA1441B">
      <w:pPr>
        <w:pStyle w:val="9"/>
        <w:keepNext w:val="0"/>
        <w:keepLines w:val="0"/>
        <w:pageBreakBefore w:val="0"/>
        <w:widowControl w:val="0"/>
        <w:numPr>
          <w:ilvl w:val="0"/>
          <w:numId w:val="5"/>
        </w:numPr>
        <w:kinsoku/>
        <w:wordWrap/>
        <w:overflowPunct/>
        <w:topLinePunct w:val="0"/>
        <w:bidi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 xml:space="preserve">货物若有国家标准按照国家标准验收，若无国家标准按行业标准验收，为原制造商制造的全新产品，整机无污染，无侵权行为、表面无划损、无任何缺陷隐患，在中国境内可依常规安全合法使用。 </w:t>
      </w:r>
    </w:p>
    <w:p w14:paraId="4920F0A1">
      <w:pPr>
        <w:keepNext w:val="0"/>
        <w:keepLines w:val="0"/>
        <w:pageBreakBefore w:val="0"/>
        <w:widowControl w:val="0"/>
        <w:numPr>
          <w:ilvl w:val="0"/>
          <w:numId w:val="5"/>
        </w:numPr>
        <w:tabs>
          <w:tab w:val="left" w:pos="900"/>
        </w:tabs>
        <w:kinsoku/>
        <w:wordWrap/>
        <w:overflowPunct/>
        <w:topLinePunct w:val="0"/>
        <w:autoSpaceDE w:val="0"/>
        <w:autoSpaceDN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货物为原厂商未启封全新包装，具出厂合格证，序列号、包装箱号与出厂批号一致，并可追索查阅。所有随设备的附件必须齐全。</w:t>
      </w:r>
    </w:p>
    <w:p w14:paraId="0D28E8BD">
      <w:pPr>
        <w:keepNext w:val="0"/>
        <w:keepLines w:val="0"/>
        <w:pageBreakBefore w:val="0"/>
        <w:widowControl w:val="0"/>
        <w:numPr>
          <w:ilvl w:val="0"/>
          <w:numId w:val="5"/>
        </w:numPr>
        <w:tabs>
          <w:tab w:val="left" w:pos="900"/>
        </w:tabs>
        <w:kinsoku/>
        <w:wordWrap/>
        <w:overflowPunct/>
        <w:topLinePunct w:val="0"/>
        <w:autoSpaceDE w:val="0"/>
        <w:autoSpaceDN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采购人组成验收小组按国家有关规定、规范进行验收，必要时邀请相关的专业人员或机构参与验收。因货物质量问题发生争议时，由本地质量技术监督部门鉴定。货物符合质量技术标准的，鉴定费由采购人承担；否则鉴定费由成交人承担。</w:t>
      </w:r>
    </w:p>
    <w:p w14:paraId="2393DDEF">
      <w:pPr>
        <w:keepNext w:val="0"/>
        <w:keepLines w:val="0"/>
        <w:pageBreakBefore w:val="0"/>
        <w:widowControl w:val="0"/>
        <w:numPr>
          <w:ilvl w:val="0"/>
          <w:numId w:val="5"/>
        </w:numPr>
        <w:tabs>
          <w:tab w:val="left" w:pos="900"/>
        </w:tabs>
        <w:kinsoku/>
        <w:wordWrap/>
        <w:overflowPunct/>
        <w:topLinePunct w:val="0"/>
        <w:autoSpaceDE w:val="0"/>
        <w:autoSpaceDN w:val="0"/>
        <w:bidi w:val="0"/>
        <w:adjustRightInd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货物安装调试合格后，如有规定需经国家相关部门或政府认可的质量检测机构检查并出具检测合格证明的，甲方可协助乙方联系相关部门进行检测，但相关费用由乙方承担。相关检验、检测、认证资料由乙方随验收申请一并提交甲方。</w:t>
      </w:r>
    </w:p>
    <w:p w14:paraId="3B4970DA">
      <w:pPr>
        <w:pStyle w:val="4"/>
        <w:keepNext w:val="0"/>
        <w:keepLines w:val="0"/>
        <w:pageBreakBefore w:val="0"/>
        <w:widowControl w:val="0"/>
        <w:numPr>
          <w:ilvl w:val="0"/>
          <w:numId w:val="0"/>
        </w:numPr>
        <w:tabs>
          <w:tab w:val="left" w:pos="540"/>
        </w:tabs>
        <w:kinsoku/>
        <w:wordWrap/>
        <w:overflowPunct/>
        <w:topLinePunct w:val="0"/>
        <w:autoSpaceDE/>
        <w:autoSpaceDN/>
        <w:bidi w:val="0"/>
        <w:adjustRightInd w:val="0"/>
        <w:snapToGrid w:val="0"/>
        <w:spacing w:line="460" w:lineRule="exact"/>
        <w:ind w:leftChars="0" w:firstLine="640" w:firstLineChars="200"/>
        <w:textAlignment w:val="auto"/>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pPr>
      <w:bookmarkStart w:id="3" w:name="PO_t_四、付款方式_6"/>
      <w:r>
        <w:rPr>
          <w:rFonts w:hint="eastAsia" w:ascii="黑体" w:hAnsi="黑体" w:eastAsia="黑体" w:cs="黑体"/>
          <w:b w:val="0"/>
          <w:bCs w:val="0"/>
          <w:color w:val="000000" w:themeColor="text1"/>
          <w:kern w:val="2"/>
          <w:sz w:val="32"/>
          <w:szCs w:val="32"/>
          <w:lang w:val="en-US" w:eastAsia="zh-CN" w:bidi="ar-SA"/>
          <w14:textFill>
            <w14:solidFill>
              <w14:schemeClr w14:val="tx1"/>
            </w14:solidFill>
          </w14:textFill>
        </w:rPr>
        <w:t>五、付款方式</w:t>
      </w:r>
    </w:p>
    <w:p w14:paraId="3E071CD8">
      <w:pPr>
        <w:pStyle w:val="4"/>
        <w:keepNext w:val="0"/>
        <w:keepLines w:val="0"/>
        <w:pageBreakBefore w:val="0"/>
        <w:widowControl w:val="0"/>
        <w:numPr>
          <w:ilvl w:val="0"/>
          <w:numId w:val="0"/>
        </w:numPr>
        <w:tabs>
          <w:tab w:val="left" w:pos="540"/>
        </w:tabs>
        <w:kinsoku/>
        <w:wordWrap/>
        <w:overflowPunct/>
        <w:topLinePunct w:val="0"/>
        <w:bidi w:val="0"/>
        <w:adjustRightInd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项目为交钥匙项目，即包含货物采购、包装、运输、安装、调试直至验收合格交付甲方使用及保修期内的维护保养与一切税费等所有费用。</w:t>
      </w:r>
    </w:p>
    <w:bookmarkEnd w:id="3"/>
    <w:p w14:paraId="4B1C2357">
      <w:pPr>
        <w:pStyle w:val="8"/>
        <w:keepNext w:val="0"/>
        <w:keepLines w:val="0"/>
        <w:pageBreakBefore w:val="0"/>
        <w:widowControl w:val="0"/>
        <w:numPr>
          <w:ilvl w:val="0"/>
          <w:numId w:val="0"/>
        </w:numPr>
        <w:kinsoku/>
        <w:wordWrap/>
        <w:overflowPunct/>
        <w:topLinePunct w:val="0"/>
        <w:autoSpaceDE/>
        <w:autoSpaceDN/>
        <w:bidi w:val="0"/>
        <w:adjustRightInd/>
        <w:snapToGrid w:val="0"/>
        <w:spacing w:line="460" w:lineRule="exact"/>
        <w:ind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 xml:space="preserve">由采购人按下列程序付款： </w:t>
      </w:r>
    </w:p>
    <w:p w14:paraId="32B9ECE5">
      <w:pPr>
        <w:pStyle w:val="8"/>
        <w:keepNext w:val="0"/>
        <w:keepLines w:val="0"/>
        <w:pageBreakBefore w:val="0"/>
        <w:widowControl w:val="0"/>
        <w:numPr>
          <w:ilvl w:val="0"/>
          <w:numId w:val="6"/>
        </w:numPr>
        <w:kinsoku/>
        <w:wordWrap/>
        <w:overflowPunct/>
        <w:topLinePunct w:val="0"/>
        <w:bidi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货物经双方验收合格后，乙方提交完整的请款资料，甲方在收到请款资料后30天内支付合同总金额的100%货款。</w:t>
      </w:r>
    </w:p>
    <w:p w14:paraId="37DE9342">
      <w:pPr>
        <w:pStyle w:val="8"/>
        <w:keepNext w:val="0"/>
        <w:keepLines w:val="0"/>
        <w:pageBreakBefore w:val="0"/>
        <w:widowControl w:val="0"/>
        <w:numPr>
          <w:ilvl w:val="0"/>
          <w:numId w:val="6"/>
        </w:numPr>
        <w:kinsoku/>
        <w:wordWrap/>
        <w:overflowPunct/>
        <w:topLinePunct w:val="0"/>
        <w:bidi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款项支付时，成交人同时向采购人提供相应金额的正式发票。</w:t>
      </w:r>
    </w:p>
    <w:p w14:paraId="72561F98">
      <w:pPr>
        <w:pStyle w:val="8"/>
        <w:keepNext w:val="0"/>
        <w:keepLines w:val="0"/>
        <w:pageBreakBefore w:val="0"/>
        <w:widowControl w:val="0"/>
        <w:numPr>
          <w:ilvl w:val="0"/>
          <w:numId w:val="6"/>
        </w:numPr>
        <w:kinsoku/>
        <w:wordWrap/>
        <w:overflowPunct/>
        <w:topLinePunct w:val="0"/>
        <w:bidi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本合同的付款时间为采购人向政府采购支付部门提出支付申请的时间（不含政府财政支付部门审查的时间）。</w:t>
      </w:r>
    </w:p>
    <w:p w14:paraId="5E98302B">
      <w:pPr>
        <w:pStyle w:val="8"/>
        <w:keepNext w:val="0"/>
        <w:keepLines w:val="0"/>
        <w:pageBreakBefore w:val="0"/>
        <w:widowControl w:val="0"/>
        <w:numPr>
          <w:ilvl w:val="0"/>
          <w:numId w:val="6"/>
        </w:numPr>
        <w:kinsoku/>
        <w:wordWrap/>
        <w:overflowPunct/>
        <w:topLinePunct w:val="0"/>
        <w:bidi w:val="0"/>
        <w:snapToGrid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成交人凭以下有效文件与采购人结算：</w:t>
      </w:r>
    </w:p>
    <w:p w14:paraId="04DADFC1">
      <w:pPr>
        <w:pStyle w:val="8"/>
        <w:keepNext w:val="0"/>
        <w:keepLines w:val="0"/>
        <w:pageBreakBefore w:val="0"/>
        <w:widowControl w:val="0"/>
        <w:numPr>
          <w:ilvl w:val="1"/>
          <w:numId w:val="6"/>
        </w:numPr>
        <w:kinsoku/>
        <w:wordWrap/>
        <w:overflowPunct/>
        <w:topLinePunct w:val="0"/>
        <w:bidi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合同；</w:t>
      </w:r>
    </w:p>
    <w:p w14:paraId="59BD12E3">
      <w:pPr>
        <w:pStyle w:val="8"/>
        <w:keepNext w:val="0"/>
        <w:keepLines w:val="0"/>
        <w:pageBreakBefore w:val="0"/>
        <w:widowControl w:val="0"/>
        <w:numPr>
          <w:ilvl w:val="1"/>
          <w:numId w:val="6"/>
        </w:numPr>
        <w:kinsoku/>
        <w:wordWrap/>
        <w:overflowPunct/>
        <w:topLinePunct w:val="0"/>
        <w:bidi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成交人开具的正式发票；</w:t>
      </w:r>
    </w:p>
    <w:p w14:paraId="4AE26B90">
      <w:pPr>
        <w:pStyle w:val="8"/>
        <w:keepNext w:val="0"/>
        <w:keepLines w:val="0"/>
        <w:pageBreakBefore w:val="0"/>
        <w:widowControl w:val="0"/>
        <w:numPr>
          <w:ilvl w:val="1"/>
          <w:numId w:val="6"/>
        </w:numPr>
        <w:kinsoku/>
        <w:wordWrap/>
        <w:overflowPunct/>
        <w:topLinePunct w:val="0"/>
        <w:bidi w:val="0"/>
        <w:snapToGrid w:val="0"/>
        <w:spacing w:line="460" w:lineRule="exact"/>
        <w:ind w:left="0" w:leftChars="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送货单、验收报告（加盖公章）；</w:t>
      </w:r>
    </w:p>
    <w:p w14:paraId="470CD2E0">
      <w:pPr>
        <w:keepNext w:val="0"/>
        <w:keepLines w:val="0"/>
        <w:pageBreakBefore w:val="0"/>
        <w:widowControl w:val="0"/>
        <w:kinsoku/>
        <w:wordWrap/>
        <w:overflowPunct/>
        <w:topLinePunct w:val="0"/>
        <w:bidi w:val="0"/>
        <w:spacing w:line="460" w:lineRule="exact"/>
        <w:ind w:left="0"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（4）成交通知书。</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ab/>
      </w: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DE321B"/>
    <w:multiLevelType w:val="singleLevel"/>
    <w:tmpl w:val="CDDE321B"/>
    <w:lvl w:ilvl="0" w:tentative="0">
      <w:start w:val="1"/>
      <w:numFmt w:val="chineseCounting"/>
      <w:suff w:val="nothing"/>
      <w:lvlText w:val="（%1）"/>
      <w:lvlJc w:val="left"/>
      <w:pPr>
        <w:ind w:left="0" w:firstLine="420"/>
      </w:pPr>
      <w:rPr>
        <w:rFonts w:hint="eastAsia"/>
      </w:rPr>
    </w:lvl>
  </w:abstractNum>
  <w:abstractNum w:abstractNumId="1">
    <w:nsid w:val="0C0D72E4"/>
    <w:multiLevelType w:val="multilevel"/>
    <w:tmpl w:val="0C0D72E4"/>
    <w:lvl w:ilvl="0" w:tentative="0">
      <w:start w:val="1"/>
      <w:numFmt w:val="decimal"/>
      <w:suff w:val="nothing"/>
      <w:lvlText w:val="%1."/>
      <w:lvlJc w:val="left"/>
      <w:pPr>
        <w:ind w:left="420" w:hanging="420"/>
      </w:pPr>
      <w:rPr>
        <w:rFonts w:hint="eastAsia"/>
      </w:rPr>
    </w:lvl>
    <w:lvl w:ilvl="1" w:tentative="0">
      <w:start w:val="1"/>
      <w:numFmt w:val="decimal"/>
      <w:suff w:val="nothing"/>
      <w:lvlText w:val="（%2）"/>
      <w:lvlJc w:val="left"/>
      <w:pPr>
        <w:ind w:left="720" w:hanging="720"/>
      </w:pPr>
      <w:rPr>
        <w:rFonts w:hint="default"/>
        <w:b w:val="0"/>
        <w:bCs w:val="0"/>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25AC778E"/>
    <w:multiLevelType w:val="multilevel"/>
    <w:tmpl w:val="25AC778E"/>
    <w:lvl w:ilvl="0" w:tentative="0">
      <w:start w:val="1"/>
      <w:numFmt w:val="chineseCountingThousand"/>
      <w:suff w:val="nothing"/>
      <w:lvlText w:val="%1、"/>
      <w:lvlJc w:val="left"/>
      <w:pPr>
        <w:ind w:left="420" w:hanging="420"/>
      </w:pPr>
      <w:rPr>
        <w:rFonts w:hint="eastAsia"/>
        <w:b/>
        <w:bCs/>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3">
    <w:nsid w:val="3F5862CA"/>
    <w:multiLevelType w:val="multilevel"/>
    <w:tmpl w:val="3F5862CA"/>
    <w:lvl w:ilvl="0" w:tentative="0">
      <w:start w:val="1"/>
      <w:numFmt w:val="decimal"/>
      <w:suff w:val="nothing"/>
      <w:lvlText w:val="%1."/>
      <w:lvlJc w:val="left"/>
      <w:pPr>
        <w:ind w:left="360" w:hanging="360"/>
      </w:pPr>
      <w:rPr>
        <w:rFonts w:hint="default"/>
        <w:b w:val="0"/>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4">
    <w:nsid w:val="485817B9"/>
    <w:multiLevelType w:val="multilevel"/>
    <w:tmpl w:val="485817B9"/>
    <w:lvl w:ilvl="0" w:tentative="0">
      <w:start w:val="1"/>
      <w:numFmt w:val="decimal"/>
      <w:suff w:val="nothing"/>
      <w:lvlText w:val="%1."/>
      <w:lvlJc w:val="left"/>
      <w:pPr>
        <w:ind w:left="425" w:hanging="425"/>
      </w:pPr>
      <w:rPr>
        <w:rFonts w:hint="eastAsia"/>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72AE5F84"/>
    <w:multiLevelType w:val="multilevel"/>
    <w:tmpl w:val="72AE5F84"/>
    <w:lvl w:ilvl="0" w:tentative="0">
      <w:start w:val="1"/>
      <w:numFmt w:val="chineseCountingThousand"/>
      <w:suff w:val="nothing"/>
      <w:lvlText w:val="(%1)"/>
      <w:lvlJc w:val="left"/>
      <w:pPr>
        <w:ind w:left="420" w:hanging="420"/>
      </w:pPr>
      <w:rPr>
        <w:rFonts w:hint="eastAsia"/>
        <w:b/>
      </w:rPr>
    </w:lvl>
    <w:lvl w:ilvl="1" w:tentative="0">
      <w:start w:val="1"/>
      <w:numFmt w:val="lowerLetter"/>
      <w:lvlText w:val="%2)"/>
      <w:lvlJc w:val="left"/>
      <w:pPr>
        <w:ind w:left="706" w:hanging="420"/>
      </w:pPr>
    </w:lvl>
    <w:lvl w:ilvl="2" w:tentative="0">
      <w:start w:val="1"/>
      <w:numFmt w:val="lowerRoman"/>
      <w:lvlText w:val="%3."/>
      <w:lvlJc w:val="right"/>
      <w:pPr>
        <w:ind w:left="1126" w:hanging="420"/>
      </w:pPr>
    </w:lvl>
    <w:lvl w:ilvl="3" w:tentative="0">
      <w:start w:val="1"/>
      <w:numFmt w:val="decimal"/>
      <w:lvlText w:val="%4."/>
      <w:lvlJc w:val="left"/>
      <w:pPr>
        <w:ind w:left="1546" w:hanging="420"/>
      </w:pPr>
    </w:lvl>
    <w:lvl w:ilvl="4" w:tentative="0">
      <w:start w:val="1"/>
      <w:numFmt w:val="lowerLetter"/>
      <w:lvlText w:val="%5)"/>
      <w:lvlJc w:val="left"/>
      <w:pPr>
        <w:ind w:left="1966" w:hanging="420"/>
      </w:pPr>
    </w:lvl>
    <w:lvl w:ilvl="5" w:tentative="0">
      <w:start w:val="1"/>
      <w:numFmt w:val="lowerRoman"/>
      <w:lvlText w:val="%6."/>
      <w:lvlJc w:val="right"/>
      <w:pPr>
        <w:ind w:left="2386" w:hanging="420"/>
      </w:pPr>
    </w:lvl>
    <w:lvl w:ilvl="6" w:tentative="0">
      <w:start w:val="1"/>
      <w:numFmt w:val="decimal"/>
      <w:lvlText w:val="%7."/>
      <w:lvlJc w:val="left"/>
      <w:pPr>
        <w:ind w:left="2806" w:hanging="420"/>
      </w:pPr>
    </w:lvl>
    <w:lvl w:ilvl="7" w:tentative="0">
      <w:start w:val="1"/>
      <w:numFmt w:val="lowerLetter"/>
      <w:lvlText w:val="%8)"/>
      <w:lvlJc w:val="left"/>
      <w:pPr>
        <w:ind w:left="3226" w:hanging="420"/>
      </w:pPr>
    </w:lvl>
    <w:lvl w:ilvl="8" w:tentative="0">
      <w:start w:val="1"/>
      <w:numFmt w:val="lowerRoman"/>
      <w:lvlText w:val="%9."/>
      <w:lvlJc w:val="right"/>
      <w:pPr>
        <w:ind w:left="3646" w:hanging="420"/>
      </w:pPr>
    </w:lvl>
  </w:abstractNum>
  <w:num w:numId="1">
    <w:abstractNumId w:val="2"/>
  </w:num>
  <w:num w:numId="2">
    <w:abstractNumId w:val="0"/>
  </w:num>
  <w:num w:numId="3">
    <w:abstractNumId w:val="5"/>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2MDhmZTc4MTg0ODVlZmMwZDc1OWE4ZWU3NWI3NWMifQ=="/>
  </w:docVars>
  <w:rsids>
    <w:rsidRoot w:val="6A9274CF"/>
    <w:rsid w:val="01F176F8"/>
    <w:rsid w:val="14AC03CD"/>
    <w:rsid w:val="3EB9542D"/>
    <w:rsid w:val="413A174C"/>
    <w:rsid w:val="475C6DBB"/>
    <w:rsid w:val="59605E6B"/>
    <w:rsid w:val="602B6AA7"/>
    <w:rsid w:val="6A9274CF"/>
    <w:rsid w:val="6E914B0E"/>
    <w:rsid w:val="70300D4F"/>
    <w:rsid w:val="7AA161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_Style 3"/>
    <w:basedOn w:val="1"/>
    <w:qFormat/>
    <w:uiPriority w:val="0"/>
    <w:pPr>
      <w:ind w:firstLine="420" w:firstLineChars="200"/>
    </w:pPr>
    <w:rPr>
      <w:sz w:val="20"/>
    </w:rPr>
  </w:style>
  <w:style w:type="paragraph" w:styleId="3">
    <w:name w:val="annotation text"/>
    <w:basedOn w:val="1"/>
    <w:qFormat/>
    <w:uiPriority w:val="0"/>
    <w:pPr>
      <w:jc w:val="left"/>
    </w:pPr>
  </w:style>
  <w:style w:type="paragraph" w:styleId="4">
    <w:name w:val="Plain Text"/>
    <w:basedOn w:val="1"/>
    <w:qFormat/>
    <w:uiPriority w:val="0"/>
    <w:rPr>
      <w:rFonts w:ascii="宋体" w:hAnsi="Courier New" w:cs="宋体"/>
      <w:kern w:val="0"/>
    </w:rPr>
  </w:style>
  <w:style w:type="paragraph" w:customStyle="1" w:styleId="7">
    <w:name w:val="图"/>
    <w:basedOn w:val="1"/>
    <w:qFormat/>
    <w:uiPriority w:val="0"/>
    <w:pPr>
      <w:keepNext/>
      <w:adjustRightInd w:val="0"/>
      <w:spacing w:before="60" w:after="60" w:line="300" w:lineRule="auto"/>
      <w:jc w:val="center"/>
      <w:textAlignment w:val="center"/>
    </w:pPr>
    <w:rPr>
      <w:rFonts w:ascii="Times New Roman" w:hAnsi="Times New Roman" w:cs="Times New Roman"/>
      <w:spacing w:val="20"/>
      <w:kern w:val="0"/>
      <w:sz w:val="24"/>
      <w:szCs w:val="24"/>
    </w:rPr>
  </w:style>
  <w:style w:type="paragraph" w:styleId="8">
    <w:name w:val="List Paragraph"/>
    <w:basedOn w:val="1"/>
    <w:qFormat/>
    <w:uiPriority w:val="34"/>
    <w:pPr>
      <w:ind w:firstLine="420" w:firstLineChars="200"/>
    </w:pPr>
  </w:style>
  <w:style w:type="paragraph" w:customStyle="1" w:styleId="9">
    <w:name w:val="列表段落7"/>
    <w:basedOn w:val="1"/>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1710</Words>
  <Characters>1746</Characters>
  <Lines>0</Lines>
  <Paragraphs>0</Paragraphs>
  <TotalTime>6</TotalTime>
  <ScaleCrop>false</ScaleCrop>
  <LinksUpToDate>false</LinksUpToDate>
  <CharactersWithSpaces>1765</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2025-12-02T07:23:00Z</dcterms:created>
  <dc:creator>勇</dc:creator>
  <cp:lastModifiedBy>WPS_1708224905</cp:lastModifiedBy>
  <dcterms:modified xsi:type="dcterms:W3CDTF">2025-12-02T08:58:32Z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E787B046E8154FE4B5A54ABCB26F63D4</vt:lpwstr>
  </property>
  <property fmtid="{D5CDD505-2E9C-101B-9397-08002B2CF9AE}" pid="4" name="KSOTemplateDocerSaveRecord">
    <vt:lpwstr>eyJoZGlkIjoiNDNiZjgzODkwZmRiODczODlhN2JjNzdkZjViMWY4MDkiLCJ1c2VySWQiOiIxNTgwMzEwMzM5In0=</vt:lpwstr>
  </property>
</Properties>
</file>